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3C5CCD">
      <w:pPr>
        <w:tabs>
          <w:tab w:val="left" w:pos="3433"/>
        </w:tabs>
        <w:jc w:val="center"/>
        <w:rPr>
          <w:rFonts w:hint="eastAsia" w:eastAsia="宋体"/>
          <w:b/>
          <w:sz w:val="56"/>
          <w:szCs w:val="56"/>
          <w:lang w:eastAsia="zh-CN"/>
        </w:rPr>
      </w:pPr>
    </w:p>
    <w:p w14:paraId="7E7F52CD">
      <w:pPr>
        <w:tabs>
          <w:tab w:val="left" w:pos="3433"/>
        </w:tabs>
        <w:jc w:val="center"/>
        <w:rPr>
          <w:rFonts w:hint="eastAsia"/>
          <w:b/>
          <w:sz w:val="56"/>
          <w:szCs w:val="56"/>
        </w:rPr>
      </w:pPr>
      <w:r>
        <w:rPr>
          <w:rFonts w:hint="eastAsia" w:eastAsia="宋体"/>
          <w:b/>
          <w:sz w:val="56"/>
          <w:szCs w:val="56"/>
          <w:lang w:eastAsia="zh-CN"/>
        </w:rPr>
        <w:drawing>
          <wp:inline distT="0" distB="0" distL="114300" distR="114300">
            <wp:extent cx="2312035" cy="1555115"/>
            <wp:effectExtent l="0" t="0" r="0" b="0"/>
            <wp:docPr id="3" name="图片 3" descr="6d2a33447a9681acd98b57714985b4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6d2a33447a9681acd98b57714985b4f"/>
                    <pic:cNvPicPr>
                      <a:picLocks noChangeAspect="1"/>
                    </pic:cNvPicPr>
                  </pic:nvPicPr>
                  <pic:blipFill>
                    <a:blip r:embed="rId5"/>
                    <a:srcRect l="6549" t="10436" r="6675" b="13362"/>
                    <a:stretch>
                      <a:fillRect/>
                    </a:stretch>
                  </pic:blipFill>
                  <pic:spPr>
                    <a:xfrm>
                      <a:off x="0" y="0"/>
                      <a:ext cx="2312035" cy="155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30658">
      <w:pPr>
        <w:tabs>
          <w:tab w:val="left" w:pos="3433"/>
        </w:tabs>
        <w:jc w:val="both"/>
        <w:rPr>
          <w:rFonts w:hint="eastAsia"/>
          <w:b/>
          <w:sz w:val="56"/>
          <w:szCs w:val="56"/>
        </w:rPr>
      </w:pPr>
    </w:p>
    <w:p w14:paraId="30A79661">
      <w:pPr>
        <w:tabs>
          <w:tab w:val="left" w:pos="3433"/>
        </w:tabs>
        <w:jc w:val="center"/>
        <w:rPr>
          <w:rFonts w:hint="eastAsia"/>
          <w:b/>
          <w:sz w:val="56"/>
          <w:szCs w:val="56"/>
        </w:rPr>
      </w:pPr>
      <w:r>
        <w:rPr>
          <w:rFonts w:hint="eastAsia"/>
          <w:b/>
          <w:sz w:val="56"/>
          <w:szCs w:val="56"/>
        </w:rPr>
        <w:t>云南</w:t>
      </w:r>
      <w:r>
        <w:rPr>
          <w:rFonts w:hint="eastAsia"/>
          <w:b/>
          <w:sz w:val="56"/>
          <w:szCs w:val="56"/>
          <w:lang w:eastAsia="zh-CN"/>
        </w:rPr>
        <w:t>海胶橡胶产业</w:t>
      </w:r>
      <w:r>
        <w:rPr>
          <w:rFonts w:hint="eastAsia"/>
          <w:b/>
          <w:sz w:val="56"/>
          <w:szCs w:val="56"/>
        </w:rPr>
        <w:t>有限公司</w:t>
      </w:r>
    </w:p>
    <w:p w14:paraId="03BFCDDE">
      <w:pPr>
        <w:tabs>
          <w:tab w:val="left" w:pos="3433"/>
        </w:tabs>
        <w:jc w:val="center"/>
        <w:rPr>
          <w:rFonts w:hint="eastAsia"/>
          <w:b/>
          <w:sz w:val="84"/>
          <w:szCs w:val="84"/>
        </w:rPr>
      </w:pPr>
      <w:r>
        <w:rPr>
          <w:rFonts w:hint="eastAsia"/>
          <w:b/>
          <w:sz w:val="56"/>
          <w:szCs w:val="56"/>
        </w:rPr>
        <w:t>202</w:t>
      </w:r>
      <w:r>
        <w:rPr>
          <w:rFonts w:hint="eastAsia"/>
          <w:b/>
          <w:sz w:val="56"/>
          <w:szCs w:val="56"/>
          <w:lang w:val="en-US" w:eastAsia="zh-CN"/>
        </w:rPr>
        <w:t>6</w:t>
      </w:r>
      <w:r>
        <w:rPr>
          <w:rFonts w:hint="eastAsia"/>
          <w:b/>
          <w:sz w:val="56"/>
          <w:szCs w:val="56"/>
        </w:rPr>
        <w:t>年橡胶产品运输服务</w:t>
      </w:r>
    </w:p>
    <w:p w14:paraId="5738C46C">
      <w:pPr>
        <w:tabs>
          <w:tab w:val="left" w:pos="3433"/>
        </w:tabs>
        <w:jc w:val="center"/>
        <w:rPr>
          <w:rFonts w:hint="eastAsia"/>
          <w:b/>
          <w:sz w:val="56"/>
          <w:szCs w:val="56"/>
        </w:rPr>
      </w:pPr>
    </w:p>
    <w:p w14:paraId="4DE9D634">
      <w:pPr>
        <w:jc w:val="center"/>
        <w:rPr>
          <w:rFonts w:hint="eastAsia"/>
          <w:b/>
          <w:sz w:val="84"/>
          <w:szCs w:val="84"/>
        </w:rPr>
      </w:pPr>
      <w:r>
        <w:rPr>
          <w:rFonts w:hint="eastAsia"/>
          <w:b/>
          <w:sz w:val="84"/>
          <w:szCs w:val="84"/>
        </w:rPr>
        <w:t>招</w:t>
      </w:r>
    </w:p>
    <w:p w14:paraId="6B9BA669">
      <w:pPr>
        <w:jc w:val="center"/>
        <w:rPr>
          <w:rFonts w:hint="eastAsia"/>
          <w:b/>
          <w:sz w:val="84"/>
          <w:szCs w:val="84"/>
        </w:rPr>
      </w:pPr>
      <w:r>
        <w:rPr>
          <w:rFonts w:hint="eastAsia"/>
          <w:b/>
          <w:sz w:val="84"/>
          <w:szCs w:val="84"/>
        </w:rPr>
        <w:t>标</w:t>
      </w:r>
    </w:p>
    <w:p w14:paraId="5E61941A">
      <w:pPr>
        <w:jc w:val="center"/>
        <w:rPr>
          <w:rFonts w:hint="eastAsia"/>
          <w:b/>
          <w:sz w:val="84"/>
          <w:szCs w:val="84"/>
        </w:rPr>
      </w:pPr>
      <w:r>
        <w:rPr>
          <w:rFonts w:hint="eastAsia"/>
          <w:b/>
          <w:sz w:val="84"/>
          <w:szCs w:val="84"/>
          <w:lang w:eastAsia="zh-CN"/>
        </w:rPr>
        <w:t>方</w:t>
      </w:r>
    </w:p>
    <w:p w14:paraId="175667AA">
      <w:pPr>
        <w:jc w:val="center"/>
        <w:rPr>
          <w:rFonts w:hint="eastAsia"/>
          <w:b/>
          <w:sz w:val="84"/>
          <w:szCs w:val="84"/>
          <w:lang w:eastAsia="zh-CN"/>
        </w:rPr>
      </w:pPr>
      <w:r>
        <w:rPr>
          <w:rFonts w:hint="eastAsia"/>
          <w:b/>
          <w:sz w:val="84"/>
          <w:szCs w:val="84"/>
          <w:lang w:eastAsia="zh-CN"/>
        </w:rPr>
        <w:t>案</w:t>
      </w:r>
    </w:p>
    <w:p w14:paraId="7F9B56C0">
      <w:pPr>
        <w:tabs>
          <w:tab w:val="left" w:pos="3433"/>
        </w:tabs>
        <w:jc w:val="center"/>
        <w:rPr>
          <w:rFonts w:hint="eastAsia"/>
          <w:b/>
          <w:sz w:val="56"/>
          <w:szCs w:val="56"/>
        </w:rPr>
      </w:pPr>
    </w:p>
    <w:p w14:paraId="296F795F">
      <w:pPr>
        <w:tabs>
          <w:tab w:val="left" w:pos="3433"/>
        </w:tabs>
        <w:jc w:val="center"/>
        <w:rPr>
          <w:rFonts w:hint="eastAsia"/>
          <w:b/>
          <w:sz w:val="56"/>
          <w:szCs w:val="56"/>
          <w:lang w:val="en-US" w:eastAsia="zh-CN"/>
        </w:rPr>
      </w:pPr>
    </w:p>
    <w:p w14:paraId="57852EC7">
      <w:pPr>
        <w:tabs>
          <w:tab w:val="left" w:pos="3433"/>
        </w:tabs>
        <w:jc w:val="both"/>
        <w:rPr>
          <w:rFonts w:hint="eastAsia"/>
          <w:lang w:val="en-US" w:eastAsia="zh-CN"/>
        </w:rPr>
      </w:pPr>
    </w:p>
    <w:p w14:paraId="6D81836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云南海胶橡胶产业有限公司（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以下简称“云南海胶”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）将对202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年橡胶产品运输服务组织国内公开招标，计划将评分靠前的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6家单位纳入云南海胶承运商(实际入围数量以评标结果为准)，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在入围期限内招标人不承诺、不保证入围单位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因本项目而获得固定的商业利益，请投标人自行考虑相应风险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欢迎具备本项目资格要求的潜在投标人参加投标。</w:t>
      </w:r>
    </w:p>
    <w:p w14:paraId="67D6607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一、招标内容</w:t>
      </w:r>
    </w:p>
    <w:p w14:paraId="64CB13D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本次通过公开招标采购方式，选择入围相应数量的运输服务供应商，对应批次货物的实际服务商及运输单价，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线下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进行询价或竞价，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经我司相应流程审批后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确定。</w:t>
      </w:r>
    </w:p>
    <w:p w14:paraId="52703C6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运输方式分为汽车运输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、公铁联运</w:t>
      </w:r>
      <w:r>
        <w:rPr>
          <w:rFonts w:hint="eastAsia" w:ascii="仿宋_GB2312" w:hAnsi="仿宋_GB2312" w:eastAsia="仿宋_GB2312" w:cs="仿宋_GB2312"/>
          <w:sz w:val="32"/>
          <w:szCs w:val="32"/>
        </w:rPr>
        <w:t>和海铁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联运等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0D1A616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二、服务期限</w:t>
      </w:r>
    </w:p>
    <w:p w14:paraId="6B87C07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自合同签订起一年。</w:t>
      </w:r>
    </w:p>
    <w:p w14:paraId="0D7B649D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三、投标单位资格要求</w:t>
      </w:r>
    </w:p>
    <w:tbl>
      <w:tblPr>
        <w:tblStyle w:val="7"/>
        <w:tblW w:w="913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"/>
        <w:gridCol w:w="1225"/>
        <w:gridCol w:w="1225"/>
        <w:gridCol w:w="5779"/>
      </w:tblGrid>
      <w:tr w14:paraId="596540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F9B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4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30F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内容</w:t>
            </w:r>
          </w:p>
        </w:tc>
        <w:tc>
          <w:tcPr>
            <w:tcW w:w="5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EC1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要求</w:t>
            </w:r>
          </w:p>
        </w:tc>
      </w:tr>
      <w:tr w14:paraId="38B28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421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4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810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具有民事责任能力的法人或其他组织</w:t>
            </w:r>
          </w:p>
        </w:tc>
        <w:tc>
          <w:tcPr>
            <w:tcW w:w="5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ADA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具备有效的营业执照</w:t>
            </w:r>
          </w:p>
        </w:tc>
      </w:tr>
      <w:tr w14:paraId="18D961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5F7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4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5D9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实缴资本</w:t>
            </w:r>
          </w:p>
        </w:tc>
        <w:tc>
          <w:tcPr>
            <w:tcW w:w="5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8A4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证明材料，实缴资本在100万元以下拒绝参与投标</w:t>
            </w:r>
          </w:p>
        </w:tc>
      </w:tr>
      <w:tr w14:paraId="3B5BF9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72B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2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D06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资质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C5D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汽运</w:t>
            </w:r>
          </w:p>
        </w:tc>
        <w:tc>
          <w:tcPr>
            <w:tcW w:w="5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1DD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交通运输管理部门颁发的《道路运输经营许可证》，且在有效期内。</w:t>
            </w:r>
          </w:p>
        </w:tc>
      </w:tr>
      <w:tr w14:paraId="37D6A0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D7A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2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48B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225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7E8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海运</w:t>
            </w:r>
          </w:p>
        </w:tc>
        <w:tc>
          <w:tcPr>
            <w:tcW w:w="5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DA4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具有主管部门颁发的有效的水路运输服务许可证或内河运输资质，如投标人不具备该资质，须与具备该资质的单位签订针对本项目的合作协议或长期合作协议。</w:t>
            </w:r>
          </w:p>
        </w:tc>
      </w:tr>
      <w:tr w14:paraId="20017F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EF0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22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874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22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294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铁路</w:t>
            </w:r>
          </w:p>
        </w:tc>
        <w:tc>
          <w:tcPr>
            <w:tcW w:w="5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BA7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和铁路局签订的合作协议</w:t>
            </w:r>
          </w:p>
        </w:tc>
      </w:tr>
      <w:tr w14:paraId="1728FC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EB7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4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588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依法纳税记录</w:t>
            </w:r>
          </w:p>
        </w:tc>
        <w:tc>
          <w:tcPr>
            <w:tcW w:w="5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BEA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提供2024-2025年度纳税证明材料</w:t>
            </w:r>
          </w:p>
        </w:tc>
      </w:tr>
      <w:tr w14:paraId="19E17B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DA6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24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4E9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过往合作案例与服务能力</w:t>
            </w:r>
          </w:p>
        </w:tc>
        <w:tc>
          <w:tcPr>
            <w:tcW w:w="5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B22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近2年同行业大型企业运输案例，服务团队配置</w:t>
            </w:r>
          </w:p>
        </w:tc>
      </w:tr>
      <w:tr w14:paraId="6656E3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F55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4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0B7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财务报表</w:t>
            </w:r>
          </w:p>
        </w:tc>
        <w:tc>
          <w:tcPr>
            <w:tcW w:w="5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DEF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提供2024-2025年度审计报告（若无审计报告则提供加盖公章的财务报表）</w:t>
            </w:r>
          </w:p>
        </w:tc>
      </w:tr>
      <w:tr w14:paraId="60A3F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3CB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24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2B9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特殊要求</w:t>
            </w:r>
          </w:p>
        </w:tc>
        <w:tc>
          <w:tcPr>
            <w:tcW w:w="5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726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具备境内和境外（老挝）橡胶运输经验，可做报关业务</w:t>
            </w:r>
          </w:p>
        </w:tc>
      </w:tr>
      <w:tr w14:paraId="787E4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273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24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24D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保险要求</w:t>
            </w:r>
          </w:p>
        </w:tc>
        <w:tc>
          <w:tcPr>
            <w:tcW w:w="5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CD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必须购买不低于承运货物售价的商业保险（提供已购保险的证明材料）</w:t>
            </w:r>
          </w:p>
        </w:tc>
      </w:tr>
      <w:tr w14:paraId="30C5A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175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24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FE2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4A3FC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信用记录</w:t>
            </w:r>
          </w:p>
        </w:tc>
        <w:tc>
          <w:tcPr>
            <w:tcW w:w="5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B8FB7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1.提供承运商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在中国执行信息公网（http://zxgk.court.gov.cn）未被列入失信被执行人，未被列入“信用中国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”网站政府采购严重违法失信行为记录名单和税收违法黑名单，黑名单企业取消投标资格</w:t>
            </w:r>
          </w:p>
          <w:p w14:paraId="793D40E2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未被列入“信用中国（云南）”站（http://yncredit.yn.gov.cn）行政处罚和失信惩戒记录，企业未被列入国家企业信用信息公示系统（http://www.gsxt.gov.cn）经营异常名录和严重违法失信企业名单，黑名单企业取消投标资格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3.在经营活动中没有重大违法记录声明书（详见附件1）（弄虚作假一经核实取消投标资格）</w:t>
            </w:r>
          </w:p>
        </w:tc>
      </w:tr>
      <w:tr w14:paraId="37E2F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27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24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31E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其他</w:t>
            </w:r>
          </w:p>
        </w:tc>
        <w:tc>
          <w:tcPr>
            <w:tcW w:w="5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648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</w:t>
            </w:r>
            <w:r>
              <w:rPr>
                <w:rStyle w:val="10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次招标</w:t>
            </w:r>
            <w:r>
              <w:rPr>
                <w:rStyle w:val="11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不接受联合体投标</w:t>
            </w:r>
          </w:p>
        </w:tc>
      </w:tr>
    </w:tbl>
    <w:p w14:paraId="32783E0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四、报名方式及开标时间地点</w:t>
      </w:r>
    </w:p>
    <w:p w14:paraId="23471AB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请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于2026年6月15日前将投标书及相关材料用特快专递邮寄或直接送达云南海胶。</w:t>
      </w:r>
    </w:p>
    <w:p w14:paraId="056E7C7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96" w:leftChars="284"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开标时间：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日上午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：00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开标地点：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云南省西双版纳州景洪市泼水广场商业区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C</w:t>
      </w:r>
    </w:p>
    <w:p w14:paraId="55AF378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hanging="640" w:hanging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区二单元四楼（云南海胶会议室）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联系人：章宇 15870031759</w:t>
      </w:r>
    </w:p>
    <w:p w14:paraId="3AA721E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五、投标文件构成</w:t>
      </w:r>
    </w:p>
    <w:p w14:paraId="6D540AA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2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法定代表人身份证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复印件</w:t>
      </w:r>
    </w:p>
    <w:p w14:paraId="0518E0C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2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法定代表人授权委托书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（委托人</w:t>
      </w:r>
      <w:r>
        <w:rPr>
          <w:rFonts w:hint="eastAsia" w:ascii="仿宋_GB2312" w:hAnsi="仿宋_GB2312" w:eastAsia="仿宋_GB2312" w:cs="仿宋_GB2312"/>
          <w:sz w:val="32"/>
          <w:szCs w:val="32"/>
        </w:rPr>
        <w:t>身份证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复印件）</w:t>
      </w:r>
    </w:p>
    <w:p w14:paraId="5D4998F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2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企业基础</w:t>
      </w: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资质证明及相关文件(看评分表要求）</w:t>
      </w:r>
    </w:p>
    <w:p w14:paraId="535E4848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265" w:leftChars="0" w:hanging="425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营业执照</w:t>
      </w:r>
    </w:p>
    <w:p w14:paraId="3A1F8D17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265" w:leftChars="0" w:hanging="425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实缴证明</w:t>
      </w:r>
    </w:p>
    <w:p w14:paraId="420C9DF2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265" w:leftChars="0" w:hanging="425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运输资质（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评分标准要求）</w:t>
      </w:r>
    </w:p>
    <w:p w14:paraId="3C72F63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265" w:leftChars="0" w:hanging="425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社保缴纳人数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证明</w:t>
      </w:r>
    </w:p>
    <w:p w14:paraId="35A933BA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265" w:leftChars="0" w:hanging="425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自有、租赁仓库或堆场面积</w:t>
      </w:r>
    </w:p>
    <w:p w14:paraId="70D4F0D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265" w:leftChars="0" w:hanging="425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管理体系认证</w:t>
      </w:r>
    </w:p>
    <w:p w14:paraId="6BE03B5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2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提供2024-2025年审计报告（若无审计报告则提供加盖公章的财务报表）</w:t>
      </w:r>
    </w:p>
    <w:p w14:paraId="14B255E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2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运输网络覆盖情况（橡胶产品境内及境外的运输经验，需提供账单和发票及可报关证明）</w:t>
      </w:r>
    </w:p>
    <w:p w14:paraId="336F86D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2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过往合作案例与服务能力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评分标准要求）</w:t>
      </w:r>
    </w:p>
    <w:p w14:paraId="13BACD8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2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合规记录</w:t>
      </w:r>
    </w:p>
    <w:p w14:paraId="56C57C2B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265" w:leftChars="0" w:hanging="425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纳税记录</w:t>
      </w:r>
    </w:p>
    <w:p w14:paraId="4FBCE5A1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265" w:leftChars="0" w:hanging="425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信用记录</w:t>
      </w:r>
    </w:p>
    <w:p w14:paraId="5A45056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20" w:firstLineChars="0"/>
        <w:textAlignment w:val="auto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其他项</w:t>
      </w:r>
    </w:p>
    <w:p w14:paraId="732CE011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265" w:leftChars="0" w:hanging="425" w:firstLineChars="0"/>
        <w:textAlignment w:val="auto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2026年下列线路执行全年固定线路报价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3"/>
        <w:gridCol w:w="2508"/>
        <w:gridCol w:w="1505"/>
        <w:gridCol w:w="1505"/>
      </w:tblGrid>
      <w:tr w14:paraId="66F1A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003" w:type="dxa"/>
            <w:vAlign w:val="center"/>
          </w:tcPr>
          <w:p w14:paraId="21C03AAC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highlight w:val="none"/>
                <w:lang w:val="en-US" w:eastAsia="zh-CN"/>
              </w:rPr>
              <w:t>起运地</w:t>
            </w:r>
          </w:p>
        </w:tc>
        <w:tc>
          <w:tcPr>
            <w:tcW w:w="2508" w:type="dxa"/>
            <w:vAlign w:val="center"/>
          </w:tcPr>
          <w:p w14:paraId="3F5537DB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highlight w:val="none"/>
                <w:lang w:val="en-US" w:eastAsia="zh-CN"/>
              </w:rPr>
              <w:t>目的地</w:t>
            </w:r>
          </w:p>
        </w:tc>
        <w:tc>
          <w:tcPr>
            <w:tcW w:w="1505" w:type="dxa"/>
          </w:tcPr>
          <w:p w14:paraId="6A6BC9FB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highlight w:val="none"/>
                <w:lang w:val="en-US" w:eastAsia="zh-CN"/>
              </w:rPr>
              <w:t>拦标价（元/吨）</w:t>
            </w:r>
          </w:p>
        </w:tc>
        <w:tc>
          <w:tcPr>
            <w:tcW w:w="1505" w:type="dxa"/>
          </w:tcPr>
          <w:p w14:paraId="3C68846E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highlight w:val="none"/>
                <w:lang w:val="en-US" w:eastAsia="zh-CN"/>
              </w:rPr>
              <w:t>报  价（元/吨）</w:t>
            </w:r>
          </w:p>
        </w:tc>
      </w:tr>
      <w:tr w14:paraId="6AC0E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3" w:type="dxa"/>
          </w:tcPr>
          <w:p w14:paraId="11F63C8D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江城嘉禾工厂及周边区域</w:t>
            </w:r>
          </w:p>
        </w:tc>
        <w:tc>
          <w:tcPr>
            <w:tcW w:w="2508" w:type="dxa"/>
          </w:tcPr>
          <w:p w14:paraId="1ED3D151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昆明指定收货点</w:t>
            </w:r>
          </w:p>
        </w:tc>
        <w:tc>
          <w:tcPr>
            <w:tcW w:w="1505" w:type="dxa"/>
            <w:vAlign w:val="center"/>
          </w:tcPr>
          <w:p w14:paraId="7765B79F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170</w:t>
            </w:r>
          </w:p>
        </w:tc>
        <w:tc>
          <w:tcPr>
            <w:tcW w:w="1505" w:type="dxa"/>
          </w:tcPr>
          <w:p w14:paraId="61F21A2D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960" w:firstLineChars="300"/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pPr>
          </w:p>
        </w:tc>
      </w:tr>
      <w:tr w14:paraId="2D30D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3" w:type="dxa"/>
          </w:tcPr>
          <w:p w14:paraId="6AF57D00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江城嘉禾工厂及周边区域</w:t>
            </w:r>
          </w:p>
        </w:tc>
        <w:tc>
          <w:tcPr>
            <w:tcW w:w="2508" w:type="dxa"/>
          </w:tcPr>
          <w:p w14:paraId="1FAF9C5A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景洪指定收货点</w:t>
            </w:r>
          </w:p>
        </w:tc>
        <w:tc>
          <w:tcPr>
            <w:tcW w:w="1505" w:type="dxa"/>
            <w:vAlign w:val="center"/>
          </w:tcPr>
          <w:p w14:paraId="4CDAEAD7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180</w:t>
            </w:r>
          </w:p>
        </w:tc>
        <w:tc>
          <w:tcPr>
            <w:tcW w:w="1505" w:type="dxa"/>
          </w:tcPr>
          <w:p w14:paraId="315EED99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960" w:firstLineChars="300"/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pPr>
          </w:p>
        </w:tc>
      </w:tr>
    </w:tbl>
    <w:p w14:paraId="223BF2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0" w:leftChars="0"/>
        <w:textAlignment w:val="auto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3C83995E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265" w:leftChars="0" w:hanging="425" w:firstLineChars="0"/>
        <w:textAlignment w:val="auto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车辆智能化配置（安装北斗/GPS监控、实时定位覆盖率）</w:t>
      </w:r>
    </w:p>
    <w:p w14:paraId="1E21251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20" w:firstLineChars="0"/>
        <w:textAlignment w:val="auto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运输保险（签订购买协议）</w:t>
      </w:r>
    </w:p>
    <w:p w14:paraId="65A78618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六、评分标准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（详见附件2）</w:t>
      </w:r>
    </w:p>
    <w:p w14:paraId="3A17BF3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七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、运输要求</w:t>
      </w:r>
    </w:p>
    <w:p w14:paraId="128D148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（一）承运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须确保货物安全送达，运输过程的任何风险及损失，概由承运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自行承担全责。且所承运的货物必须购买货物运输保险。</w:t>
      </w:r>
    </w:p>
    <w:p w14:paraId="7BD1EF1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（二）装运载体须干净、无破损，须规范装卸，保证货物外袋不受潮和污染，同时保证袋内同样不能受潮受污染。由于承运运输过程产生的受湿、包装污染、破损以及缺件丢失等，概由承运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全责赔付。</w:t>
      </w:r>
    </w:p>
    <w:p w14:paraId="7956D35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（三）托盘胶运输途中应加垫隔板，保证托盘及外袋不损坏。</w:t>
      </w:r>
    </w:p>
    <w:p w14:paraId="13E9992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（四）工厂送货承运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须自行承担（由于工厂原因形成的）排队卸货、及不能当天卸货的费用风险。</w:t>
      </w:r>
    </w:p>
    <w:p w14:paraId="59DF491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（五）承运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自接受发运委托书之日起，须每天提供货物在途情况台账（运输时提供样板）。</w:t>
      </w:r>
    </w:p>
    <w:p w14:paraId="72AA1ED1">
      <w:pPr>
        <w:spacing w:before="156" w:after="156" w:line="240" w:lineRule="auto"/>
        <w:ind w:lef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（六）承运商</w:t>
      </w:r>
      <w:r>
        <w:rPr>
          <w:rFonts w:hint="eastAsia" w:ascii="仿宋_GB2312" w:hAnsi="仿宋_GB2312" w:eastAsia="仿宋_GB2312" w:cs="仿宋_GB2312"/>
          <w:sz w:val="32"/>
          <w:szCs w:val="32"/>
        </w:rPr>
        <w:t>未能按时安排车辆到达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我司</w:t>
      </w:r>
      <w:r>
        <w:rPr>
          <w:rFonts w:hint="eastAsia" w:ascii="仿宋_GB2312" w:hAnsi="仿宋_GB2312" w:eastAsia="仿宋_GB2312" w:cs="仿宋_GB2312"/>
          <w:sz w:val="32"/>
          <w:szCs w:val="32"/>
        </w:rPr>
        <w:t>指定装货地点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，我司</w:t>
      </w:r>
      <w:r>
        <w:rPr>
          <w:rFonts w:hint="eastAsia" w:ascii="仿宋_GB2312" w:hAnsi="仿宋_GB2312" w:eastAsia="仿宋_GB2312" w:cs="仿宋_GB2312"/>
          <w:sz w:val="32"/>
          <w:szCs w:val="32"/>
        </w:rPr>
        <w:t>有权从履约保证金或应向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承运商</w:t>
      </w:r>
      <w:r>
        <w:rPr>
          <w:rFonts w:hint="eastAsia" w:ascii="仿宋_GB2312" w:hAnsi="仿宋_GB2312" w:eastAsia="仿宋_GB2312" w:cs="仿宋_GB2312"/>
          <w:sz w:val="32"/>
          <w:szCs w:val="32"/>
        </w:rPr>
        <w:t>支付的运费中扣减违约金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扣减标准：超过规定期限5小时，24小时以内按照800元/次，超过规定期限24小时以上以2000元/日。协议约定期内未能按时安排车辆累计超过三次，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我司</w:t>
      </w:r>
      <w:r>
        <w:rPr>
          <w:rFonts w:hint="eastAsia" w:ascii="仿宋_GB2312" w:hAnsi="仿宋_GB2312" w:eastAsia="仿宋_GB2312" w:cs="仿宋_GB2312"/>
          <w:sz w:val="32"/>
          <w:szCs w:val="32"/>
        </w:rPr>
        <w:t>有权终止协议并取消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其</w:t>
      </w:r>
      <w:r>
        <w:rPr>
          <w:rFonts w:hint="eastAsia" w:ascii="仿宋_GB2312" w:hAnsi="仿宋_GB2312" w:eastAsia="仿宋_GB2312" w:cs="仿宋_GB2312"/>
          <w:sz w:val="32"/>
          <w:szCs w:val="32"/>
        </w:rPr>
        <w:t>承运资格，且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我司</w:t>
      </w:r>
      <w:r>
        <w:rPr>
          <w:rFonts w:hint="eastAsia" w:ascii="仿宋_GB2312" w:hAnsi="仿宋_GB2312" w:eastAsia="仿宋_GB2312" w:cs="仿宋_GB2312"/>
          <w:sz w:val="32"/>
          <w:szCs w:val="32"/>
        </w:rPr>
        <w:t>不承担任何违约责任。</w:t>
      </w:r>
    </w:p>
    <w:p w14:paraId="6D00FB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after="156"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（七）</w:t>
      </w:r>
      <w:r>
        <w:rPr>
          <w:rFonts w:hint="eastAsia" w:ascii="仿宋_GB2312" w:hAnsi="仿宋_GB2312" w:eastAsia="仿宋_GB2312" w:cs="仿宋_GB2312"/>
          <w:sz w:val="32"/>
          <w:szCs w:val="32"/>
        </w:rPr>
        <w:t>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合同</w:t>
      </w:r>
      <w:r>
        <w:rPr>
          <w:rFonts w:hint="eastAsia" w:ascii="仿宋_GB2312" w:hAnsi="仿宋_GB2312" w:eastAsia="仿宋_GB2312" w:cs="仿宋_GB2312"/>
          <w:sz w:val="32"/>
          <w:szCs w:val="32"/>
        </w:rPr>
        <w:t>履行期间，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承运商</w:t>
      </w:r>
      <w:r>
        <w:rPr>
          <w:rFonts w:hint="eastAsia" w:ascii="仿宋_GB2312" w:hAnsi="仿宋_GB2312" w:eastAsia="仿宋_GB2312" w:cs="仿宋_GB2312"/>
          <w:sz w:val="32"/>
          <w:szCs w:val="32"/>
        </w:rPr>
        <w:t>不能完成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我司</w:t>
      </w:r>
      <w:r>
        <w:rPr>
          <w:rFonts w:hint="eastAsia" w:ascii="仿宋_GB2312" w:hAnsi="仿宋_GB2312" w:eastAsia="仿宋_GB2312" w:cs="仿宋_GB2312"/>
          <w:sz w:val="32"/>
          <w:szCs w:val="32"/>
        </w:rPr>
        <w:t>运输委托时，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</w:t>
      </w:r>
      <w:r>
        <w:rPr>
          <w:rFonts w:hint="eastAsia" w:ascii="仿宋_GB2312" w:hAnsi="仿宋_GB2312" w:eastAsia="仿宋_GB2312" w:cs="仿宋_GB2312"/>
          <w:sz w:val="32"/>
          <w:szCs w:val="32"/>
        </w:rPr>
        <w:t>方有权选择其他承运商进行运输，由此造成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我司</w:t>
      </w:r>
      <w:r>
        <w:rPr>
          <w:rFonts w:hint="eastAsia" w:ascii="仿宋_GB2312" w:hAnsi="仿宋_GB2312" w:eastAsia="仿宋_GB2312" w:cs="仿宋_GB2312"/>
          <w:sz w:val="32"/>
          <w:szCs w:val="32"/>
        </w:rPr>
        <w:t>运输成本超出约定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价</w:t>
      </w:r>
      <w:r>
        <w:rPr>
          <w:rFonts w:hint="eastAsia" w:ascii="仿宋_GB2312" w:hAnsi="仿宋_GB2312" w:eastAsia="仿宋_GB2312" w:cs="仿宋_GB2312"/>
          <w:sz w:val="32"/>
          <w:szCs w:val="32"/>
        </w:rPr>
        <w:t>，超出部分及由此造成的经济损失均由承运商承担。</w:t>
      </w:r>
    </w:p>
    <w:p w14:paraId="6614232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（八）运量是预估量，结算以实际安全送达目的地月度业务量为准，按月进行结算。此外，无论入围单位最终承运多少货物，投标人均不得要求中途退还保证金，且不得改变服务质量。</w:t>
      </w:r>
    </w:p>
    <w:p w14:paraId="42DAD6D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八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、2026年境内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、境外预估运量</w:t>
      </w:r>
    </w:p>
    <w:tbl>
      <w:tblPr>
        <w:tblStyle w:val="7"/>
        <w:tblW w:w="777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1885"/>
        <w:gridCol w:w="2212"/>
        <w:gridCol w:w="1820"/>
        <w:gridCol w:w="1068"/>
      </w:tblGrid>
      <w:tr w14:paraId="6FE877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4" w:hRule="atLeast"/>
          <w:jc w:val="center"/>
        </w:trPr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9134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u w:val="none"/>
                <w:lang w:bidi="ar"/>
              </w:rPr>
              <w:t>标段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C75E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u w:val="none"/>
                <w:lang w:bidi="ar"/>
              </w:rPr>
              <w:t>运输起始点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u w:val="none"/>
                <w:lang w:bidi="ar"/>
              </w:rPr>
              <w:t>（各厂地址）</w:t>
            </w:r>
          </w:p>
        </w:tc>
        <w:tc>
          <w:tcPr>
            <w:tcW w:w="2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BE5D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u w:val="none"/>
                <w:lang w:bidi="ar"/>
              </w:rPr>
              <w:t>到达目的地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B17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5年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估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u w:val="none"/>
                <w:lang w:bidi="ar"/>
              </w:rPr>
              <w:t>运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u w:val="none"/>
                <w:lang w:bidi="ar"/>
              </w:rPr>
              <w:t>数量（吨）</w:t>
            </w:r>
          </w:p>
        </w:tc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F67C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u w:val="none"/>
                <w:lang w:bidi="ar"/>
              </w:rPr>
              <w:t>备注</w:t>
            </w:r>
          </w:p>
        </w:tc>
      </w:tr>
      <w:tr w14:paraId="469DDB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F0B2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u w:val="none"/>
                <w:lang w:val="en-US" w:eastAsia="zh-CN"/>
              </w:rPr>
              <w:t>境外标段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EA61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老挝境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指定装货地</w:t>
            </w:r>
          </w:p>
        </w:tc>
        <w:tc>
          <w:tcPr>
            <w:tcW w:w="2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F5A5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磨憨/景洪/昆明/勐腊等指定卸货地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1C97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15000</w:t>
            </w:r>
          </w:p>
        </w:tc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77EA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none"/>
                <w:lang w:bidi="ar"/>
              </w:rPr>
              <w:t>门到门</w:t>
            </w:r>
          </w:p>
        </w:tc>
      </w:tr>
      <w:tr w14:paraId="604A4F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A3C2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u w:val="none"/>
                <w:lang w:val="en-US" w:eastAsia="zh-CN"/>
              </w:rPr>
              <w:t>境内标段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BC8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境内指定装货地</w:t>
            </w:r>
          </w:p>
        </w:tc>
        <w:tc>
          <w:tcPr>
            <w:tcW w:w="2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8089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青岛/上海/天津等指定卸货地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D750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35000</w:t>
            </w:r>
          </w:p>
        </w:tc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840B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none"/>
                <w:lang w:bidi="ar"/>
              </w:rPr>
              <w:t>门到门</w:t>
            </w:r>
          </w:p>
        </w:tc>
      </w:tr>
    </w:tbl>
    <w:p w14:paraId="5C3E801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320" w:firstLineChars="1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注：1.境外运输费全部由境内公司结算，分段做账单及开票，国内段开具9%增值税专用发票，国际段0税。</w:t>
      </w:r>
    </w:p>
    <w:p w14:paraId="16A87476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960" w:firstLineChars="3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2.中标单位需向我司缴纳50万元履约保证金。</w:t>
      </w:r>
    </w:p>
    <w:p w14:paraId="42B1E304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540" w:leftChars="257" w:firstLine="0" w:firstLineChars="0"/>
        <w:jc w:val="both"/>
        <w:textAlignment w:val="auto"/>
        <w:outlineLvl w:val="0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九、附件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br w:type="textWrapping"/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、在经营活动中没有重大违法记录声明书</w:t>
      </w:r>
    </w:p>
    <w:p w14:paraId="3319D5C4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 xml:space="preserve">    2、运输招标评分表</w:t>
      </w:r>
    </w:p>
    <w:p w14:paraId="11EE2904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</w:t>
      </w:r>
    </w:p>
    <w:p w14:paraId="2B58D96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highlight w:val="none"/>
        </w:rPr>
      </w:pPr>
      <w:bookmarkStart w:id="0" w:name="_Toc15514"/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highlight w:val="none"/>
        </w:rPr>
        <w:t>在经营活动中没有重大违法记录声明书</w:t>
      </w:r>
      <w:bookmarkEnd w:id="0"/>
    </w:p>
    <w:p w14:paraId="07F553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highlight w:val="none"/>
        </w:rPr>
      </w:pPr>
    </w:p>
    <w:p w14:paraId="513CB7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u w:val="single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u w:val="single"/>
          <w:lang w:eastAsia="zh-CN"/>
        </w:rPr>
        <w:t>招标人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u w:val="single"/>
        </w:rPr>
        <w:t>名称）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：</w:t>
      </w:r>
    </w:p>
    <w:p w14:paraId="650509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我方在此声明，我方参加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  <w:t>（项目名称）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三年内，在经营活动中没有重大违法记录</w:t>
      </w:r>
      <w:r>
        <w:rPr>
          <w:rFonts w:hint="eastAsia" w:ascii="仿宋_GB2312" w:hAnsi="仿宋_GB2312" w:eastAsia="仿宋_GB2312" w:cs="仿宋_GB2312"/>
          <w:bCs/>
          <w:color w:val="000000"/>
          <w:kern w:val="1"/>
          <w:sz w:val="32"/>
          <w:szCs w:val="32"/>
          <w:highlight w:val="none"/>
        </w:rPr>
        <w:t>（重大违法记录是指</w:t>
      </w:r>
      <w:r>
        <w:rPr>
          <w:rFonts w:hint="eastAsia" w:ascii="仿宋_GB2312" w:hAnsi="仿宋_GB2312" w:eastAsia="仿宋_GB2312" w:cs="仿宋_GB2312"/>
          <w:bCs/>
          <w:color w:val="000000"/>
          <w:kern w:val="1"/>
          <w:sz w:val="32"/>
          <w:szCs w:val="32"/>
          <w:highlight w:val="none"/>
          <w:lang w:val="en-US" w:eastAsia="zh-CN"/>
        </w:rPr>
        <w:t>供应商</w:t>
      </w:r>
      <w:r>
        <w:rPr>
          <w:rFonts w:hint="eastAsia" w:ascii="仿宋_GB2312" w:hAnsi="仿宋_GB2312" w:eastAsia="仿宋_GB2312" w:cs="仿宋_GB2312"/>
          <w:bCs/>
          <w:color w:val="000000"/>
          <w:kern w:val="1"/>
          <w:sz w:val="32"/>
          <w:szCs w:val="32"/>
          <w:highlight w:val="none"/>
        </w:rPr>
        <w:t>因违法经营受到刑事处罚或者责令停产停业、吊销许可证或者执照、较大数额罚款等行政处罚）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。</w:t>
      </w:r>
    </w:p>
    <w:p w14:paraId="301C0D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我方保证上述信息的真实和准确，并愿意承担因我方就此弄虚作假所引起的一切法律后果。</w:t>
      </w:r>
    </w:p>
    <w:p w14:paraId="60010A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特此声明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。</w:t>
      </w:r>
    </w:p>
    <w:p w14:paraId="16CE9D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highlight w:val="none"/>
        </w:rPr>
      </w:pPr>
    </w:p>
    <w:p w14:paraId="426BE2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highlight w:val="none"/>
        </w:rPr>
      </w:pPr>
    </w:p>
    <w:p w14:paraId="0318380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highlight w:val="none"/>
        </w:rPr>
      </w:pPr>
    </w:p>
    <w:p w14:paraId="4EFA36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竞标单位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u w:val="single"/>
        </w:rPr>
        <w:t xml:space="preserve"> 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公章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）</w:t>
      </w:r>
    </w:p>
    <w:p w14:paraId="2C74AC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法定代表人或委托代理人：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（签字或盖章）</w:t>
      </w:r>
    </w:p>
    <w:p w14:paraId="328463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日期：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日</w:t>
      </w:r>
    </w:p>
    <w:p w14:paraId="0E19382E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DC488CB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6E5E525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CEA444C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78B611A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EC0CCF9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327" w:right="1633" w:bottom="1327" w:left="1633" w:header="851" w:footer="992" w:gutter="0"/>
          <w:cols w:space="425" w:num="1"/>
          <w:docGrid w:type="lines" w:linePitch="312" w:charSpace="0"/>
        </w:sectPr>
      </w:pPr>
    </w:p>
    <w:tbl>
      <w:tblPr>
        <w:tblStyle w:val="7"/>
        <w:tblW w:w="1396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701"/>
        <w:gridCol w:w="1616"/>
        <w:gridCol w:w="4165"/>
        <w:gridCol w:w="1233"/>
        <w:gridCol w:w="5474"/>
      </w:tblGrid>
      <w:tr w14:paraId="5F1B1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3965" w:type="dxa"/>
            <w:gridSpan w:val="6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4E85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2026年运输招标评分表</w:t>
            </w:r>
          </w:p>
        </w:tc>
      </w:tr>
      <w:tr w14:paraId="0373C4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1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471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公司名称：</w:t>
            </w:r>
          </w:p>
        </w:tc>
        <w:tc>
          <w:tcPr>
            <w:tcW w:w="6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E8D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评估得分：                     </w:t>
            </w:r>
          </w:p>
        </w:tc>
      </w:tr>
      <w:tr w14:paraId="09159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185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B28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评审日期：</w:t>
            </w:r>
          </w:p>
        </w:tc>
        <w:tc>
          <w:tcPr>
            <w:tcW w:w="6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A73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评审人：</w:t>
            </w:r>
          </w:p>
        </w:tc>
      </w:tr>
      <w:tr w14:paraId="437B1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CD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评估项目</w:t>
            </w:r>
          </w:p>
        </w:tc>
        <w:tc>
          <w:tcPr>
            <w:tcW w:w="70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36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51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79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评估要素</w:t>
            </w:r>
          </w:p>
        </w:tc>
        <w:tc>
          <w:tcPr>
            <w:tcW w:w="418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CE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评估标准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27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打分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60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3CF866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8DAE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企业基础资质（38分）</w:t>
            </w:r>
          </w:p>
        </w:tc>
        <w:tc>
          <w:tcPr>
            <w:tcW w:w="70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9E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95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企业性质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136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1.私营/集体企业，独立法人（5分）</w:t>
            </w:r>
          </w:p>
        </w:tc>
        <w:tc>
          <w:tcPr>
            <w:tcW w:w="12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F04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4E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营业执照</w:t>
            </w:r>
          </w:p>
        </w:tc>
      </w:tr>
      <w:tr w14:paraId="5595B7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CAB43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31F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DCC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784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2.上市公司/国有独资企业/外资/战略合作伙伴/国际著名物流企业独资或控股（10分）</w:t>
            </w:r>
          </w:p>
        </w:tc>
        <w:tc>
          <w:tcPr>
            <w:tcW w:w="12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8E7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EF1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0E28F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717CA1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1C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E8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营业年限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(年）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360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1.小于2（0分）</w:t>
            </w:r>
          </w:p>
        </w:tc>
        <w:tc>
          <w:tcPr>
            <w:tcW w:w="12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187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C41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A01C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82BA5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A93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FC0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935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2.2(含)-5(1分)</w:t>
            </w:r>
          </w:p>
        </w:tc>
        <w:tc>
          <w:tcPr>
            <w:tcW w:w="12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9BF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6E4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2554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27FD48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70A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113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667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3.5(含)-8(2分)</w:t>
            </w:r>
          </w:p>
        </w:tc>
        <w:tc>
          <w:tcPr>
            <w:tcW w:w="12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19D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732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E528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CEF1E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8BB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280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423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4.8(含)-10(3分)</w:t>
            </w:r>
          </w:p>
        </w:tc>
        <w:tc>
          <w:tcPr>
            <w:tcW w:w="12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D86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E74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F5657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326E3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036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223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75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5.10(含)以上(5分)</w:t>
            </w:r>
          </w:p>
        </w:tc>
        <w:tc>
          <w:tcPr>
            <w:tcW w:w="12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D91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F3D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0E6B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71B57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BC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C4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实缴资本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A6A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1.100(含)-300(1分)</w:t>
            </w:r>
          </w:p>
        </w:tc>
        <w:tc>
          <w:tcPr>
            <w:tcW w:w="12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558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17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实缴证明</w:t>
            </w:r>
          </w:p>
        </w:tc>
      </w:tr>
      <w:tr w14:paraId="6181F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7E660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59E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150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FB7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2.300(含)-500(2分)</w:t>
            </w:r>
          </w:p>
        </w:tc>
        <w:tc>
          <w:tcPr>
            <w:tcW w:w="12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A87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89E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3530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7EF823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6F8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671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408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3.500(含)-1000(含)(3分)</w:t>
            </w:r>
          </w:p>
        </w:tc>
        <w:tc>
          <w:tcPr>
            <w:tcW w:w="12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42D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062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17EC9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2601FD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722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B99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4E9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4.1000以上(5分)</w:t>
            </w:r>
          </w:p>
        </w:tc>
        <w:tc>
          <w:tcPr>
            <w:tcW w:w="12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7B7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E1A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5E54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0F4E85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62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67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运输资质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105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1.国内道路运输经营许可证(1分)</w:t>
            </w:r>
          </w:p>
        </w:tc>
        <w:tc>
          <w:tcPr>
            <w:tcW w:w="12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AF7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236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资质证明：1.汽运：交通运输管理部门颁发的《道路运输经营许可证》，且在有效期内。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2.海运：具有主管部门颁发的有效的水路运输服务许可证或内河运输资质，如投标人不具备该资质，须与具备该资质的单位签订针对本项目的合作协议或长期合作协议。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3.铁路：和铁路局签订的合作协议。</w:t>
            </w:r>
          </w:p>
        </w:tc>
      </w:tr>
      <w:tr w14:paraId="496A43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07F222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4E5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988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0C9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2.国内道路运输经营许可证/铁路运输资质(3分)</w:t>
            </w:r>
          </w:p>
        </w:tc>
        <w:tc>
          <w:tcPr>
            <w:tcW w:w="12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9D9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46AD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961D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29B0C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127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99D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92F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3.国内道路运输经营许可证/铁路/船舶运输资质(6分)</w:t>
            </w:r>
          </w:p>
        </w:tc>
        <w:tc>
          <w:tcPr>
            <w:tcW w:w="12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0E2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C4FE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27F3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5BD84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1D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23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社保缴纳人数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CD2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1、参保人数0人（0分）</w:t>
            </w:r>
          </w:p>
        </w:tc>
        <w:tc>
          <w:tcPr>
            <w:tcW w:w="12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2EE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97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近3个月参保证明相关材料</w:t>
            </w:r>
          </w:p>
        </w:tc>
      </w:tr>
      <w:tr w14:paraId="4FDCE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9031D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BB9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A02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8D1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2、参保人数5人以下（2分）</w:t>
            </w:r>
          </w:p>
        </w:tc>
        <w:tc>
          <w:tcPr>
            <w:tcW w:w="12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DCA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798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0E203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893DA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A7C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692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8AC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3、参保人数5-10人（4分）</w:t>
            </w:r>
          </w:p>
        </w:tc>
        <w:tc>
          <w:tcPr>
            <w:tcW w:w="12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6AC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9C1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E62FC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4F27F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06F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F8C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192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4、参保人数10人以上（5分）</w:t>
            </w:r>
          </w:p>
        </w:tc>
        <w:tc>
          <w:tcPr>
            <w:tcW w:w="12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A8C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2AE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F841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662B1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39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51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1F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自有、租赁仓库或堆场面积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C84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1.无仓库或堆场（0分）</w:t>
            </w:r>
          </w:p>
        </w:tc>
        <w:tc>
          <w:tcPr>
            <w:tcW w:w="124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6A8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3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01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自有仓库需提供土地证、房屋证；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租赁仓库需提供租赁合同</w:t>
            </w:r>
          </w:p>
        </w:tc>
      </w:tr>
      <w:tr w14:paraId="7AD6A5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009DD7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9AE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C12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F31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2.无自有，有租赁仓库或堆场（2分）</w:t>
            </w:r>
          </w:p>
        </w:tc>
        <w:tc>
          <w:tcPr>
            <w:tcW w:w="124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7F7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3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121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67F7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BB28C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C4E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2B8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F36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3.自有仓库或堆场（5分）</w:t>
            </w:r>
          </w:p>
        </w:tc>
        <w:tc>
          <w:tcPr>
            <w:tcW w:w="124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C43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3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510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392A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D852E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66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B3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管理体系认证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5B581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1.未通过ISO9001/ISO14001/ISO45001等相关管理体系认证（0分）</w:t>
            </w:r>
          </w:p>
        </w:tc>
        <w:tc>
          <w:tcPr>
            <w:tcW w:w="12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B7B4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B3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有效认证证书</w:t>
            </w:r>
          </w:p>
        </w:tc>
      </w:tr>
      <w:tr w14:paraId="6116B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0F792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EC1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B7D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2921F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2.通过ISO9001/ISO14001/ISO45001等相关管理体系认证（2分）</w:t>
            </w:r>
          </w:p>
        </w:tc>
        <w:tc>
          <w:tcPr>
            <w:tcW w:w="12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62DE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A45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0F519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7526D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往年经营数据（10分）</w:t>
            </w:r>
          </w:p>
        </w:tc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05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10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资产负债率(需提供公司盖章的资产负债表)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5CEA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1.90%以上或无法提供资产负债表的(0分)</w:t>
            </w:r>
          </w:p>
        </w:tc>
        <w:tc>
          <w:tcPr>
            <w:tcW w:w="12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99594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1B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提供2024-2025年审计报告（若无审计报告则提供加盖公章的财务报表）</w:t>
            </w:r>
          </w:p>
        </w:tc>
      </w:tr>
      <w:tr w14:paraId="14BE80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2FD7F1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EF6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675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F8C8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2.70%-90%(1分)</w:t>
            </w:r>
          </w:p>
        </w:tc>
        <w:tc>
          <w:tcPr>
            <w:tcW w:w="12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A7F5D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5E8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CE87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4920E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1A8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D92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9BD0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3.50%-70%(3分)</w:t>
            </w:r>
          </w:p>
        </w:tc>
        <w:tc>
          <w:tcPr>
            <w:tcW w:w="12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F82DB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769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BBBC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7E3AA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1A3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61E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5900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4.50%以下(5分)</w:t>
            </w:r>
          </w:p>
        </w:tc>
        <w:tc>
          <w:tcPr>
            <w:tcW w:w="12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E5B97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F6C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7BF37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7F2966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78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0D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主营业务收入（需提供公司盖章的利润表)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C796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1.50万元以内或无法提供利润报表的(0分)</w:t>
            </w:r>
          </w:p>
        </w:tc>
        <w:tc>
          <w:tcPr>
            <w:tcW w:w="12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3C2E9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D19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FA830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5BDFD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995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6F8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B6D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2.50(含)-300万元(1分)</w:t>
            </w:r>
          </w:p>
        </w:tc>
        <w:tc>
          <w:tcPr>
            <w:tcW w:w="12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C8A78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FF6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9883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78ACCE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79F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CEA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DD2E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3.300(含)-500万元(2分)</w:t>
            </w:r>
          </w:p>
        </w:tc>
        <w:tc>
          <w:tcPr>
            <w:tcW w:w="12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DE94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96D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EC6C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56A96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B91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734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9506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4.500(含)-1000万元(3分)</w:t>
            </w:r>
          </w:p>
        </w:tc>
        <w:tc>
          <w:tcPr>
            <w:tcW w:w="12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816DE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9BB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D6D6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0DF12B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326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479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7607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5.1000(含)-5000万元(4分)</w:t>
            </w:r>
          </w:p>
        </w:tc>
        <w:tc>
          <w:tcPr>
            <w:tcW w:w="12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2F895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C7D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1EF0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2E987D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1B5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25C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8A13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6.5000（含)万元以上(5分)</w:t>
            </w:r>
          </w:p>
        </w:tc>
        <w:tc>
          <w:tcPr>
            <w:tcW w:w="12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438A5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A08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E2B0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9CE4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运输网络覆盖情况（4分）</w:t>
            </w:r>
          </w:p>
        </w:tc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96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F1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跨境运输及报关能力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589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1.只有境内或境外运输经验(1分)</w:t>
            </w:r>
          </w:p>
        </w:tc>
        <w:tc>
          <w:tcPr>
            <w:tcW w:w="124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4D5FF4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55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账单和发票及可报关证明</w:t>
            </w:r>
          </w:p>
        </w:tc>
      </w:tr>
      <w:tr w14:paraId="518B7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797069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B1F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544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63D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2.同时有境内和境外运输经验(2分)</w:t>
            </w:r>
          </w:p>
        </w:tc>
        <w:tc>
          <w:tcPr>
            <w:tcW w:w="124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1AC5C3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291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4630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6F90D3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7A1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BA4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459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3.同时有境内和境外运输经验且可做报关业务（4分）</w:t>
            </w:r>
          </w:p>
        </w:tc>
        <w:tc>
          <w:tcPr>
            <w:tcW w:w="124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05124B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296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2545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27E71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过往合作案例与服务能力（17分）</w:t>
            </w:r>
          </w:p>
        </w:tc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9A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CA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同类项目案例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F92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近2年同行业大型企业运输案例5个以上（12分）</w:t>
            </w:r>
          </w:p>
        </w:tc>
        <w:tc>
          <w:tcPr>
            <w:tcW w:w="12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A83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0D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合同、合作证明、中标文件及发票</w:t>
            </w:r>
          </w:p>
        </w:tc>
      </w:tr>
      <w:tr w14:paraId="1C801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0E32D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8E9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67E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392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近2年同行业大型企业运输案例1-5个，其中1-2个案例2分，3-4个5分，5个8分（8分）</w:t>
            </w:r>
          </w:p>
        </w:tc>
        <w:tc>
          <w:tcPr>
            <w:tcW w:w="12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C98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B3A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E072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8E578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EC9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861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9D5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无案例（0分）</w:t>
            </w:r>
          </w:p>
        </w:tc>
        <w:tc>
          <w:tcPr>
            <w:tcW w:w="12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F97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D6B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5391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2695B1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94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AB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服务团队配置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260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专职调度、客服、安全管理人员配置齐全，且重点区域设有网点/驻场人员(4分）</w:t>
            </w:r>
          </w:p>
        </w:tc>
        <w:tc>
          <w:tcPr>
            <w:tcW w:w="124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69721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3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36A2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组织架构（对应人数）、网点地址、人员配置表</w:t>
            </w:r>
          </w:p>
        </w:tc>
      </w:tr>
      <w:tr w14:paraId="29926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04B8FA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A80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378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E86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人员配置不全、仅异地对接无驻场服务的酌情扣分（1-2分）</w:t>
            </w:r>
          </w:p>
        </w:tc>
        <w:tc>
          <w:tcPr>
            <w:tcW w:w="124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4C230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3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5D552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E81E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052B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合规记录（15分）</w:t>
            </w:r>
          </w:p>
        </w:tc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14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60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依法纳税记录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2A7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1.无（0分）</w:t>
            </w:r>
          </w:p>
        </w:tc>
        <w:tc>
          <w:tcPr>
            <w:tcW w:w="12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E6B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CD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提供2024-2025年度纳税证明</w:t>
            </w:r>
          </w:p>
        </w:tc>
      </w:tr>
      <w:tr w14:paraId="6A7C0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6C2C10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E54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588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368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2.有（5分）</w:t>
            </w:r>
          </w:p>
        </w:tc>
        <w:tc>
          <w:tcPr>
            <w:tcW w:w="12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0BE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D04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60B91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18486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FC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59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信用记录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9BC4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1.无法提供或存在不良记录(-100分)</w:t>
            </w:r>
          </w:p>
        </w:tc>
        <w:tc>
          <w:tcPr>
            <w:tcW w:w="12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F354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78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企业征信、处罚查询截图</w:t>
            </w:r>
          </w:p>
        </w:tc>
      </w:tr>
      <w:tr w14:paraId="72074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B5833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B79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818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579B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2.信用记录完整且查询记录良好(10分)</w:t>
            </w:r>
          </w:p>
        </w:tc>
        <w:tc>
          <w:tcPr>
            <w:tcW w:w="12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47AC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487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97011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ACBC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其他项（17分）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17D8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F518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固定线路报价(10分）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206D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投标单位中最低报价/各投标单位报价*10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03D00F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3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1440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现场制作固定运价一览表</w:t>
            </w:r>
          </w:p>
        </w:tc>
      </w:tr>
      <w:tr w14:paraId="1CD41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ED5FA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90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3A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车辆智能化配置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3C64A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安装北斗/GPS监控、实时定位全部车辆安装（4分）</w:t>
            </w:r>
          </w:p>
        </w:tc>
        <w:tc>
          <w:tcPr>
            <w:tcW w:w="124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6EFAE2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3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F1AC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监控后台截图</w:t>
            </w:r>
          </w:p>
        </w:tc>
      </w:tr>
      <w:tr w14:paraId="7D79B7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6D01D9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AB4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450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21179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安装北斗/GPS监控、实时定位覆盖率90%-99%（2分）</w:t>
            </w:r>
          </w:p>
        </w:tc>
        <w:tc>
          <w:tcPr>
            <w:tcW w:w="124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172802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3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D1628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F5CD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28084B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DA3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0E4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B78D6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安装北斗/GPS监控、实时定位低于90%（0分）</w:t>
            </w:r>
          </w:p>
        </w:tc>
        <w:tc>
          <w:tcPr>
            <w:tcW w:w="124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1414BF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3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30C23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DD13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939DC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54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51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FD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2025年中标运输商考核情况</w:t>
            </w:r>
          </w:p>
        </w:tc>
        <w:tc>
          <w:tcPr>
            <w:tcW w:w="418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838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2025年中标运输商评分90分及以上（3分）</w:t>
            </w:r>
          </w:p>
        </w:tc>
        <w:tc>
          <w:tcPr>
            <w:tcW w:w="124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C306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3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50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依据运输服务商考核汇总表（由各委托发运机构分别评分，最终得分采用加权平均法核算）</w:t>
            </w:r>
          </w:p>
        </w:tc>
      </w:tr>
      <w:tr w14:paraId="04813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22D7B6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993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8EA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8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B37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2025年中标运输商评分89分及以下（0分）</w:t>
            </w:r>
          </w:p>
        </w:tc>
        <w:tc>
          <w:tcPr>
            <w:tcW w:w="124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F1CE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3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4BD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6560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4F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B1CB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9316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3BBD7337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hint="eastAsia"/>
          <w:color w:val="auto"/>
          <w:highlight w:val="none"/>
          <w:lang w:val="en-US" w:eastAsia="zh-CN"/>
        </w:rPr>
      </w:pPr>
    </w:p>
    <w:sectPr>
      <w:pgSz w:w="16838" w:h="11906" w:orient="landscape"/>
      <w:pgMar w:top="1800" w:right="1327" w:bottom="1800" w:left="138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8E0F3A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9B1736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E9B1736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C04AF"/>
    <w:multiLevelType w:val="singleLevel"/>
    <w:tmpl w:val="AAEC04AF"/>
    <w:lvl w:ilvl="0" w:tentative="0">
      <w:start w:val="1"/>
      <w:numFmt w:val="decimal"/>
      <w:lvlText w:val="%1."/>
      <w:lvlJc w:val="left"/>
      <w:pPr>
        <w:ind w:left="1265" w:hanging="425"/>
      </w:pPr>
      <w:rPr>
        <w:rFonts w:hint="default"/>
      </w:rPr>
    </w:lvl>
  </w:abstractNum>
  <w:abstractNum w:abstractNumId="1">
    <w:nsid w:val="F58A7E15"/>
    <w:multiLevelType w:val="singleLevel"/>
    <w:tmpl w:val="F58A7E15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2">
    <w:nsid w:val="4A343AA3"/>
    <w:multiLevelType w:val="singleLevel"/>
    <w:tmpl w:val="4A343AA3"/>
    <w:lvl w:ilvl="0" w:tentative="0">
      <w:start w:val="1"/>
      <w:numFmt w:val="decimal"/>
      <w:lvlText w:val="%1."/>
      <w:lvlJc w:val="left"/>
      <w:pPr>
        <w:ind w:left="1265" w:hanging="425"/>
      </w:pPr>
      <w:rPr>
        <w:rFonts w:hint="default"/>
      </w:rPr>
    </w:lvl>
  </w:abstractNum>
  <w:abstractNum w:abstractNumId="3">
    <w:nsid w:val="6C3B9AFA"/>
    <w:multiLevelType w:val="singleLevel"/>
    <w:tmpl w:val="6C3B9AFA"/>
    <w:lvl w:ilvl="0" w:tentative="0">
      <w:start w:val="1"/>
      <w:numFmt w:val="decimal"/>
      <w:lvlText w:val="%1."/>
      <w:lvlJc w:val="left"/>
      <w:pPr>
        <w:ind w:left="1265" w:hanging="425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VhMjBmN2NlM2ZmMTA4NzBhYTFkZjZlZTkxNzYyNTcifQ=="/>
  </w:docVars>
  <w:rsids>
    <w:rsidRoot w:val="00000000"/>
    <w:rsid w:val="00004695"/>
    <w:rsid w:val="00284A4F"/>
    <w:rsid w:val="003C3B92"/>
    <w:rsid w:val="005F7127"/>
    <w:rsid w:val="008C3CB1"/>
    <w:rsid w:val="008C4773"/>
    <w:rsid w:val="01006CB0"/>
    <w:rsid w:val="01025A37"/>
    <w:rsid w:val="013F7A9A"/>
    <w:rsid w:val="01964C25"/>
    <w:rsid w:val="01995BAA"/>
    <w:rsid w:val="01DC539A"/>
    <w:rsid w:val="024702CC"/>
    <w:rsid w:val="02AB2EAE"/>
    <w:rsid w:val="02F13E7D"/>
    <w:rsid w:val="035F3318"/>
    <w:rsid w:val="03C52CBC"/>
    <w:rsid w:val="040A59AF"/>
    <w:rsid w:val="04A01725"/>
    <w:rsid w:val="04B34B43"/>
    <w:rsid w:val="04BA7D51"/>
    <w:rsid w:val="04FD623C"/>
    <w:rsid w:val="050071C0"/>
    <w:rsid w:val="05EB5EC4"/>
    <w:rsid w:val="06141287"/>
    <w:rsid w:val="069D7EE6"/>
    <w:rsid w:val="06F53DF8"/>
    <w:rsid w:val="072510C4"/>
    <w:rsid w:val="07937179"/>
    <w:rsid w:val="07F46FA0"/>
    <w:rsid w:val="09573962"/>
    <w:rsid w:val="0A080C44"/>
    <w:rsid w:val="0A5B410A"/>
    <w:rsid w:val="0AB86A22"/>
    <w:rsid w:val="0AD100C7"/>
    <w:rsid w:val="0AE465EC"/>
    <w:rsid w:val="0B4E0312"/>
    <w:rsid w:val="0B5010BD"/>
    <w:rsid w:val="0B8528F2"/>
    <w:rsid w:val="0B9D381C"/>
    <w:rsid w:val="0C8A21A0"/>
    <w:rsid w:val="0D06536D"/>
    <w:rsid w:val="0D6F798F"/>
    <w:rsid w:val="0DCA21B0"/>
    <w:rsid w:val="0E4B437F"/>
    <w:rsid w:val="0EF5348D"/>
    <w:rsid w:val="0F581039"/>
    <w:rsid w:val="0FBF5566"/>
    <w:rsid w:val="0FF40EB8"/>
    <w:rsid w:val="10052457"/>
    <w:rsid w:val="108A5F33"/>
    <w:rsid w:val="110A553C"/>
    <w:rsid w:val="11146D91"/>
    <w:rsid w:val="11452DE3"/>
    <w:rsid w:val="11CF6595"/>
    <w:rsid w:val="11E6296C"/>
    <w:rsid w:val="12224D50"/>
    <w:rsid w:val="123526EB"/>
    <w:rsid w:val="125D5E2E"/>
    <w:rsid w:val="12C82F5F"/>
    <w:rsid w:val="12CE4E68"/>
    <w:rsid w:val="12EB6997"/>
    <w:rsid w:val="135F0ED4"/>
    <w:rsid w:val="137C6286"/>
    <w:rsid w:val="13C156F5"/>
    <w:rsid w:val="13FC67C8"/>
    <w:rsid w:val="144A1DD6"/>
    <w:rsid w:val="147C16AC"/>
    <w:rsid w:val="14C72A25"/>
    <w:rsid w:val="14DA74C7"/>
    <w:rsid w:val="16336E56"/>
    <w:rsid w:val="16BD3DD9"/>
    <w:rsid w:val="16E178E4"/>
    <w:rsid w:val="171170E7"/>
    <w:rsid w:val="171A2FD7"/>
    <w:rsid w:val="171F3E7E"/>
    <w:rsid w:val="17EC7D4E"/>
    <w:rsid w:val="17EF0CD3"/>
    <w:rsid w:val="18AB6E88"/>
    <w:rsid w:val="18AC1086"/>
    <w:rsid w:val="19075F1D"/>
    <w:rsid w:val="193E1C7A"/>
    <w:rsid w:val="19613133"/>
    <w:rsid w:val="19835866"/>
    <w:rsid w:val="19C127B5"/>
    <w:rsid w:val="19EF2027"/>
    <w:rsid w:val="1A130F8F"/>
    <w:rsid w:val="1A362FFE"/>
    <w:rsid w:val="1A3B5015"/>
    <w:rsid w:val="1A3B78AA"/>
    <w:rsid w:val="1A49562F"/>
    <w:rsid w:val="1A710D72"/>
    <w:rsid w:val="1A885114"/>
    <w:rsid w:val="1B080EE5"/>
    <w:rsid w:val="1B0F4F52"/>
    <w:rsid w:val="1B101B75"/>
    <w:rsid w:val="1B4A0A55"/>
    <w:rsid w:val="1B564A4C"/>
    <w:rsid w:val="1BB75806"/>
    <w:rsid w:val="1BDE7C44"/>
    <w:rsid w:val="1BE724DA"/>
    <w:rsid w:val="1BF4566B"/>
    <w:rsid w:val="1C220738"/>
    <w:rsid w:val="1C3144D5"/>
    <w:rsid w:val="1C4A4D75"/>
    <w:rsid w:val="1C5046FF"/>
    <w:rsid w:val="1CF5041B"/>
    <w:rsid w:val="1D0F3839"/>
    <w:rsid w:val="1D22285A"/>
    <w:rsid w:val="1D3849FD"/>
    <w:rsid w:val="1D652049"/>
    <w:rsid w:val="1DB6406F"/>
    <w:rsid w:val="1E4516B7"/>
    <w:rsid w:val="1E5820B9"/>
    <w:rsid w:val="1F0D587D"/>
    <w:rsid w:val="1F325ABD"/>
    <w:rsid w:val="1F8F5A43"/>
    <w:rsid w:val="1F936DDB"/>
    <w:rsid w:val="1FC16504"/>
    <w:rsid w:val="1FDB71CF"/>
    <w:rsid w:val="1FEB2CED"/>
    <w:rsid w:val="20371AE7"/>
    <w:rsid w:val="206B6ABE"/>
    <w:rsid w:val="211A20DA"/>
    <w:rsid w:val="2142329E"/>
    <w:rsid w:val="22181FFD"/>
    <w:rsid w:val="221E7789"/>
    <w:rsid w:val="226A69DF"/>
    <w:rsid w:val="229A12D1"/>
    <w:rsid w:val="233C68DC"/>
    <w:rsid w:val="25001A40"/>
    <w:rsid w:val="253E2BAA"/>
    <w:rsid w:val="25780405"/>
    <w:rsid w:val="25A2628F"/>
    <w:rsid w:val="25E41817"/>
    <w:rsid w:val="261D2218"/>
    <w:rsid w:val="262B372C"/>
    <w:rsid w:val="266C581A"/>
    <w:rsid w:val="26CA7492"/>
    <w:rsid w:val="26E57D8D"/>
    <w:rsid w:val="276A4438"/>
    <w:rsid w:val="28673056"/>
    <w:rsid w:val="28A14135"/>
    <w:rsid w:val="28E229A0"/>
    <w:rsid w:val="29765412"/>
    <w:rsid w:val="29B07B75"/>
    <w:rsid w:val="2A21112E"/>
    <w:rsid w:val="2A7D01C3"/>
    <w:rsid w:val="2BB1567F"/>
    <w:rsid w:val="2BC01AD4"/>
    <w:rsid w:val="2BCF20EE"/>
    <w:rsid w:val="2BD01D6E"/>
    <w:rsid w:val="2DA30D70"/>
    <w:rsid w:val="2DB35787"/>
    <w:rsid w:val="2E0A6195"/>
    <w:rsid w:val="2E0C4F1C"/>
    <w:rsid w:val="2E576295"/>
    <w:rsid w:val="2ECE71D8"/>
    <w:rsid w:val="2F0D5DDC"/>
    <w:rsid w:val="2F4910A0"/>
    <w:rsid w:val="2F5064AC"/>
    <w:rsid w:val="2F735768"/>
    <w:rsid w:val="2FD71C09"/>
    <w:rsid w:val="2FDB378B"/>
    <w:rsid w:val="30121DEE"/>
    <w:rsid w:val="30372F27"/>
    <w:rsid w:val="3060796F"/>
    <w:rsid w:val="311E7AF8"/>
    <w:rsid w:val="316F64A7"/>
    <w:rsid w:val="31AC410D"/>
    <w:rsid w:val="31D729D3"/>
    <w:rsid w:val="31E5776A"/>
    <w:rsid w:val="31F20E2C"/>
    <w:rsid w:val="32103E32"/>
    <w:rsid w:val="322317CE"/>
    <w:rsid w:val="32904380"/>
    <w:rsid w:val="32B92FC6"/>
    <w:rsid w:val="32F440A4"/>
    <w:rsid w:val="33051DC0"/>
    <w:rsid w:val="33A46447"/>
    <w:rsid w:val="33DA6921"/>
    <w:rsid w:val="341C738A"/>
    <w:rsid w:val="34C51DA1"/>
    <w:rsid w:val="34FB227B"/>
    <w:rsid w:val="35EB1B84"/>
    <w:rsid w:val="360D33BD"/>
    <w:rsid w:val="365D4441"/>
    <w:rsid w:val="36692452"/>
    <w:rsid w:val="36B315CD"/>
    <w:rsid w:val="36C066E4"/>
    <w:rsid w:val="36D80507"/>
    <w:rsid w:val="36F13630"/>
    <w:rsid w:val="372C3815"/>
    <w:rsid w:val="372E7C5C"/>
    <w:rsid w:val="3751494E"/>
    <w:rsid w:val="37C329C2"/>
    <w:rsid w:val="380421F3"/>
    <w:rsid w:val="382C33B7"/>
    <w:rsid w:val="38804D57"/>
    <w:rsid w:val="38E42B66"/>
    <w:rsid w:val="38F34AC9"/>
    <w:rsid w:val="38FA4D0A"/>
    <w:rsid w:val="3949030C"/>
    <w:rsid w:val="39985E8D"/>
    <w:rsid w:val="399C2315"/>
    <w:rsid w:val="39A86127"/>
    <w:rsid w:val="39CA1B5F"/>
    <w:rsid w:val="39E06281"/>
    <w:rsid w:val="3A4631BF"/>
    <w:rsid w:val="3A9E1B37"/>
    <w:rsid w:val="3ADB521F"/>
    <w:rsid w:val="3AED3E24"/>
    <w:rsid w:val="3AFF4EAF"/>
    <w:rsid w:val="3B2735CE"/>
    <w:rsid w:val="3B8C75C1"/>
    <w:rsid w:val="3C3F6C90"/>
    <w:rsid w:val="3CAA4196"/>
    <w:rsid w:val="3CB44AA5"/>
    <w:rsid w:val="3D8C258A"/>
    <w:rsid w:val="3D900F90"/>
    <w:rsid w:val="3DD3167A"/>
    <w:rsid w:val="3E8E531E"/>
    <w:rsid w:val="3ECB1C12"/>
    <w:rsid w:val="3EE77B9E"/>
    <w:rsid w:val="3F0C10F2"/>
    <w:rsid w:val="3F9006D6"/>
    <w:rsid w:val="3FEB14A1"/>
    <w:rsid w:val="408F27F7"/>
    <w:rsid w:val="40DE086C"/>
    <w:rsid w:val="41B75ADD"/>
    <w:rsid w:val="41EC3DB8"/>
    <w:rsid w:val="420A3368"/>
    <w:rsid w:val="421120CB"/>
    <w:rsid w:val="429A1953"/>
    <w:rsid w:val="429E0F08"/>
    <w:rsid w:val="42EA4BD5"/>
    <w:rsid w:val="42FF12F7"/>
    <w:rsid w:val="43A60B8B"/>
    <w:rsid w:val="43F23209"/>
    <w:rsid w:val="441433BD"/>
    <w:rsid w:val="44457410"/>
    <w:rsid w:val="46132D66"/>
    <w:rsid w:val="462F49B1"/>
    <w:rsid w:val="46A71178"/>
    <w:rsid w:val="46B856BC"/>
    <w:rsid w:val="474F593B"/>
    <w:rsid w:val="48F90270"/>
    <w:rsid w:val="49244D8F"/>
    <w:rsid w:val="493801AD"/>
    <w:rsid w:val="494E2350"/>
    <w:rsid w:val="49896CB2"/>
    <w:rsid w:val="49CA7BE0"/>
    <w:rsid w:val="4ABE4B31"/>
    <w:rsid w:val="4B942400"/>
    <w:rsid w:val="4BC230D9"/>
    <w:rsid w:val="4D226519"/>
    <w:rsid w:val="4D3104A7"/>
    <w:rsid w:val="4D505D63"/>
    <w:rsid w:val="4D544769"/>
    <w:rsid w:val="4DF0689A"/>
    <w:rsid w:val="4E1E2F39"/>
    <w:rsid w:val="4E287FC5"/>
    <w:rsid w:val="4E4E3A88"/>
    <w:rsid w:val="4E7116BE"/>
    <w:rsid w:val="4EE0160D"/>
    <w:rsid w:val="4EE80403"/>
    <w:rsid w:val="4F213A60"/>
    <w:rsid w:val="4F4B26A6"/>
    <w:rsid w:val="4FE52639"/>
    <w:rsid w:val="4FFA109F"/>
    <w:rsid w:val="50151D6F"/>
    <w:rsid w:val="50414974"/>
    <w:rsid w:val="50473843"/>
    <w:rsid w:val="50577CF3"/>
    <w:rsid w:val="50B463F5"/>
    <w:rsid w:val="50E955CA"/>
    <w:rsid w:val="51E25DA3"/>
    <w:rsid w:val="51FF0996"/>
    <w:rsid w:val="5219373E"/>
    <w:rsid w:val="525C54AC"/>
    <w:rsid w:val="52785177"/>
    <w:rsid w:val="530449C0"/>
    <w:rsid w:val="530968C9"/>
    <w:rsid w:val="532C2301"/>
    <w:rsid w:val="534244A5"/>
    <w:rsid w:val="53840791"/>
    <w:rsid w:val="53963F2F"/>
    <w:rsid w:val="53E96710"/>
    <w:rsid w:val="5443314E"/>
    <w:rsid w:val="549A28A4"/>
    <w:rsid w:val="54B5164D"/>
    <w:rsid w:val="54D33936"/>
    <w:rsid w:val="54DE7749"/>
    <w:rsid w:val="56501E4C"/>
    <w:rsid w:val="565F21C4"/>
    <w:rsid w:val="56633FB6"/>
    <w:rsid w:val="56885586"/>
    <w:rsid w:val="56C00F63"/>
    <w:rsid w:val="572F3796"/>
    <w:rsid w:val="57562AB6"/>
    <w:rsid w:val="587E21BE"/>
    <w:rsid w:val="58982D68"/>
    <w:rsid w:val="5910752F"/>
    <w:rsid w:val="59C65171"/>
    <w:rsid w:val="59C67F57"/>
    <w:rsid w:val="5A5E13CF"/>
    <w:rsid w:val="5A704B6C"/>
    <w:rsid w:val="5A812888"/>
    <w:rsid w:val="5AAC6F50"/>
    <w:rsid w:val="5AF73385"/>
    <w:rsid w:val="5B013F5E"/>
    <w:rsid w:val="5B117F79"/>
    <w:rsid w:val="5B9D1C7F"/>
    <w:rsid w:val="5BA830B6"/>
    <w:rsid w:val="5C8C6FF0"/>
    <w:rsid w:val="5CA33FBF"/>
    <w:rsid w:val="5CB318A3"/>
    <w:rsid w:val="5CBF56B6"/>
    <w:rsid w:val="5D7F5AF4"/>
    <w:rsid w:val="5D870982"/>
    <w:rsid w:val="5DAC403A"/>
    <w:rsid w:val="5E0E7F0A"/>
    <w:rsid w:val="5E9934D3"/>
    <w:rsid w:val="5EDF69B5"/>
    <w:rsid w:val="5F317D54"/>
    <w:rsid w:val="5F737229"/>
    <w:rsid w:val="5F7A57AC"/>
    <w:rsid w:val="5F980362"/>
    <w:rsid w:val="60733548"/>
    <w:rsid w:val="607E218F"/>
    <w:rsid w:val="60AA0313"/>
    <w:rsid w:val="6171346B"/>
    <w:rsid w:val="61724770"/>
    <w:rsid w:val="62184EFE"/>
    <w:rsid w:val="62716891"/>
    <w:rsid w:val="62751A14"/>
    <w:rsid w:val="62A9226E"/>
    <w:rsid w:val="62C30BBE"/>
    <w:rsid w:val="63030E07"/>
    <w:rsid w:val="631321A0"/>
    <w:rsid w:val="63AE6299"/>
    <w:rsid w:val="63C1697C"/>
    <w:rsid w:val="63D374CE"/>
    <w:rsid w:val="63D464D8"/>
    <w:rsid w:val="645B63B1"/>
    <w:rsid w:val="648A1B6C"/>
    <w:rsid w:val="64D11873"/>
    <w:rsid w:val="650E563B"/>
    <w:rsid w:val="66495BDD"/>
    <w:rsid w:val="66853278"/>
    <w:rsid w:val="66C06B20"/>
    <w:rsid w:val="66D1263E"/>
    <w:rsid w:val="67433876"/>
    <w:rsid w:val="67AD0D27"/>
    <w:rsid w:val="67AD40C8"/>
    <w:rsid w:val="67B1772D"/>
    <w:rsid w:val="680B10C1"/>
    <w:rsid w:val="68370C8B"/>
    <w:rsid w:val="684C1B2A"/>
    <w:rsid w:val="687A03D1"/>
    <w:rsid w:val="687E6601"/>
    <w:rsid w:val="691E5706"/>
    <w:rsid w:val="69475245"/>
    <w:rsid w:val="694B1A4D"/>
    <w:rsid w:val="695F06ED"/>
    <w:rsid w:val="699E3A55"/>
    <w:rsid w:val="6A330C30"/>
    <w:rsid w:val="6A67569D"/>
    <w:rsid w:val="6A6F632C"/>
    <w:rsid w:val="6A9A4BF2"/>
    <w:rsid w:val="6AD53752"/>
    <w:rsid w:val="6B0420A3"/>
    <w:rsid w:val="6B3724F2"/>
    <w:rsid w:val="6B5F2192"/>
    <w:rsid w:val="6B6433C1"/>
    <w:rsid w:val="6B6E3B14"/>
    <w:rsid w:val="6BC35959"/>
    <w:rsid w:val="6BC4236D"/>
    <w:rsid w:val="6C205CF3"/>
    <w:rsid w:val="6C6D256F"/>
    <w:rsid w:val="6C6E7FF0"/>
    <w:rsid w:val="6C770900"/>
    <w:rsid w:val="6D1B461D"/>
    <w:rsid w:val="6D760823"/>
    <w:rsid w:val="6DAA1F76"/>
    <w:rsid w:val="6DAB79F8"/>
    <w:rsid w:val="6DCF21B6"/>
    <w:rsid w:val="6EFF612B"/>
    <w:rsid w:val="6F374A46"/>
    <w:rsid w:val="6F383D07"/>
    <w:rsid w:val="70342CA5"/>
    <w:rsid w:val="708F42B8"/>
    <w:rsid w:val="70C62525"/>
    <w:rsid w:val="70D04D21"/>
    <w:rsid w:val="71CE6406"/>
    <w:rsid w:val="722A535E"/>
    <w:rsid w:val="725B22AA"/>
    <w:rsid w:val="72C22F53"/>
    <w:rsid w:val="72D466F0"/>
    <w:rsid w:val="73C93B06"/>
    <w:rsid w:val="73D8518D"/>
    <w:rsid w:val="74337932"/>
    <w:rsid w:val="746B7A8B"/>
    <w:rsid w:val="74B41184"/>
    <w:rsid w:val="74CC682B"/>
    <w:rsid w:val="75602922"/>
    <w:rsid w:val="7566482B"/>
    <w:rsid w:val="758D4034"/>
    <w:rsid w:val="75A2206C"/>
    <w:rsid w:val="75C556E6"/>
    <w:rsid w:val="765972B7"/>
    <w:rsid w:val="76C8536C"/>
    <w:rsid w:val="76CA40F3"/>
    <w:rsid w:val="76CC3D72"/>
    <w:rsid w:val="772F6015"/>
    <w:rsid w:val="777F7099"/>
    <w:rsid w:val="77E943EA"/>
    <w:rsid w:val="78466A49"/>
    <w:rsid w:val="787768D5"/>
    <w:rsid w:val="78823444"/>
    <w:rsid w:val="78975968"/>
    <w:rsid w:val="796C0E43"/>
    <w:rsid w:val="79795F5A"/>
    <w:rsid w:val="798B0435"/>
    <w:rsid w:val="799C4845"/>
    <w:rsid w:val="7A230972"/>
    <w:rsid w:val="7A2618F6"/>
    <w:rsid w:val="7AF3156E"/>
    <w:rsid w:val="7AF763CB"/>
    <w:rsid w:val="7B14377D"/>
    <w:rsid w:val="7B4464CB"/>
    <w:rsid w:val="7B5C0DF0"/>
    <w:rsid w:val="7B646D7F"/>
    <w:rsid w:val="7B9207C8"/>
    <w:rsid w:val="7BB65505"/>
    <w:rsid w:val="7C086208"/>
    <w:rsid w:val="7C0B35E0"/>
    <w:rsid w:val="7C2535BA"/>
    <w:rsid w:val="7CD70E5F"/>
    <w:rsid w:val="7D726ADF"/>
    <w:rsid w:val="7D8C3E06"/>
    <w:rsid w:val="7D9C40A0"/>
    <w:rsid w:val="7DD035F6"/>
    <w:rsid w:val="7E5228CA"/>
    <w:rsid w:val="7EC9380E"/>
    <w:rsid w:val="7F0F3F82"/>
    <w:rsid w:val="7FD065BE"/>
    <w:rsid w:val="7FF8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qFormat/>
    <w:uiPriority w:val="0"/>
    <w:pPr>
      <w:tabs>
        <w:tab w:val="left" w:pos="-1698"/>
      </w:tabs>
      <w:spacing w:before="50" w:beforeLines="0" w:line="400" w:lineRule="exact"/>
    </w:pPr>
    <w:rPr>
      <w:sz w:val="24"/>
    </w:rPr>
  </w:style>
  <w:style w:type="paragraph" w:styleId="4">
    <w:name w:val="Plain Text"/>
    <w:basedOn w:val="1"/>
    <w:next w:val="1"/>
    <w:qFormat/>
    <w:uiPriority w:val="0"/>
    <w:rPr>
      <w:rFonts w:ascii="宋体" w:hAnsi="Courier New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font1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1">
    <w:name w:val="font0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2">
    <w:name w:val="font7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3">
    <w:name w:val="font4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3605</Words>
  <Characters>4073</Characters>
  <Lines>0</Lines>
  <Paragraphs>0</Paragraphs>
  <TotalTime>5</TotalTime>
  <ScaleCrop>false</ScaleCrop>
  <LinksUpToDate>false</LinksUpToDate>
  <CharactersWithSpaces>4151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2022-11-23T07:06:00Z</dcterms:created>
  <dc:creator>Administrator</dc:creator>
  <cp:lastModifiedBy>兮言</cp:lastModifiedBy>
  <cp:lastPrinted>2026-05-31T11:45:00Z</cp:lastPrinted>
  <dcterms:modified xsi:type="dcterms:W3CDTF">2026-06-04T01:31:04Z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F5B8D2B5F97249E9A09843E7B87D57F4_13</vt:lpwstr>
  </property>
  <property fmtid="{D5CDD505-2E9C-101B-9397-08002B2CF9AE}" pid="4" name="KSOTemplateDocerSaveRecord">
    <vt:lpwstr>eyJoZGlkIjoiMWY5OGJlNWFhZGRkMGQ4NWU1ZjVhM2U3MGYyN2YzZDEiLCJ1c2VySWQiOiI5ODIyNzIxODcifQ==</vt:lpwstr>
  </property>
</Properties>
</file>